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A4339">
      <w:pPr>
        <w:keepNext w:val="0"/>
        <w:keepLines w:val="0"/>
        <w:pageBreakBefore w:val="0"/>
        <w:kinsoku/>
        <w:wordWrap/>
        <w:overflowPunct/>
        <w:topLinePunct w:val="0"/>
        <w:autoSpaceDE/>
        <w:autoSpaceDN/>
        <w:bidi w:val="0"/>
        <w:adjustRightInd/>
        <w:snapToGrid/>
        <w:spacing w:line="596" w:lineRule="exact"/>
        <w:jc w:val="center"/>
        <w:rPr>
          <w:rFonts w:hint="eastAsia" w:ascii="方正小标宋简体" w:hAnsi="方正小标宋简体" w:eastAsia="方正小标宋简体" w:cs="方正小标宋简体"/>
          <w:sz w:val="44"/>
          <w:szCs w:val="44"/>
          <w:lang w:eastAsia="zh-CN"/>
        </w:rPr>
      </w:pPr>
      <w:bookmarkStart w:id="0" w:name="_GoBack"/>
      <w:bookmarkEnd w:id="0"/>
      <w:r>
        <w:rPr>
          <w:rFonts w:hint="eastAsia" w:ascii="方正小标宋简体" w:hAnsi="方正小标宋简体" w:eastAsia="方正小标宋简体" w:cs="方正小标宋简体"/>
          <w:sz w:val="44"/>
          <w:szCs w:val="44"/>
        </w:rPr>
        <w:t>汇创青春（视觉传达设计类）</w:t>
      </w:r>
    </w:p>
    <w:p w14:paraId="06EB2C89">
      <w:pPr>
        <w:keepNext w:val="0"/>
        <w:keepLines w:val="0"/>
        <w:pageBreakBefore w:val="0"/>
        <w:kinsoku/>
        <w:wordWrap/>
        <w:overflowPunct/>
        <w:topLinePunct w:val="0"/>
        <w:autoSpaceDE/>
        <w:autoSpaceDN/>
        <w:bidi w:val="0"/>
        <w:adjustRightInd/>
        <w:snapToGrid/>
        <w:spacing w:line="596"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未来视界</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沉浸共创</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空间计算</w:t>
      </w:r>
      <w:r>
        <w:rPr>
          <w:rFonts w:hint="eastAsia" w:ascii="方正小标宋简体" w:hAnsi="方正小标宋简体" w:eastAsia="方正小标宋简体" w:cs="方正小标宋简体"/>
          <w:sz w:val="44"/>
          <w:szCs w:val="44"/>
          <w:lang w:eastAsia="zh-CN"/>
        </w:rPr>
        <w:t>文创产品</w:t>
      </w:r>
    </w:p>
    <w:p w14:paraId="3B4A7C26">
      <w:pPr>
        <w:keepNext w:val="0"/>
        <w:keepLines w:val="0"/>
        <w:pageBreakBefore w:val="0"/>
        <w:kinsoku/>
        <w:wordWrap/>
        <w:overflowPunct/>
        <w:topLinePunct w:val="0"/>
        <w:autoSpaceDE/>
        <w:autoSpaceDN/>
        <w:bidi w:val="0"/>
        <w:adjustRightInd/>
        <w:snapToGrid/>
        <w:spacing w:line="596"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设计大赛</w:t>
      </w:r>
      <w:r>
        <w:rPr>
          <w:rFonts w:hint="eastAsia" w:ascii="方正小标宋简体" w:hAnsi="方正小标宋简体" w:eastAsia="方正小标宋简体" w:cs="方正小标宋简体"/>
          <w:sz w:val="44"/>
          <w:szCs w:val="44"/>
        </w:rPr>
        <w:t>赛项方案</w:t>
      </w:r>
    </w:p>
    <w:p w14:paraId="4144EF79">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p>
    <w:p w14:paraId="74DFC77B">
      <w:pPr>
        <w:keepNext w:val="0"/>
        <w:keepLines w:val="0"/>
        <w:pageBreakBefore w:val="0"/>
        <w:kinsoku/>
        <w:wordWrap/>
        <w:overflowPunct/>
        <w:topLinePunct w:val="0"/>
        <w:autoSpaceDE/>
        <w:autoSpaceDN/>
        <w:bidi w:val="0"/>
        <w:adjustRightInd/>
        <w:snapToGrid/>
        <w:spacing w:line="596" w:lineRule="exact"/>
        <w:rPr>
          <w:rFonts w:hint="default" w:ascii="Times New Roman" w:hAnsi="Times New Roman" w:eastAsia="仿宋_GB2312" w:cs="Times New Roman"/>
          <w:sz w:val="32"/>
          <w:szCs w:val="32"/>
        </w:rPr>
      </w:pPr>
    </w:p>
    <w:p w14:paraId="26031DD7">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default" w:ascii="黑体" w:hAnsi="黑体" w:eastAsia="黑体" w:cs="黑体"/>
          <w:sz w:val="32"/>
          <w:szCs w:val="32"/>
          <w:lang w:val="en-US"/>
        </w:rPr>
        <w:t>一、</w:t>
      </w:r>
      <w:r>
        <w:rPr>
          <w:rFonts w:hint="default" w:ascii="黑体" w:hAnsi="黑体" w:eastAsia="黑体" w:cs="黑体"/>
          <w:sz w:val="32"/>
          <w:szCs w:val="32"/>
        </w:rPr>
        <w:t>赛事主题</w:t>
      </w:r>
    </w:p>
    <w:p w14:paraId="764DAA07">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主题：未来视界</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沉浸共创</w:t>
      </w:r>
      <w:r>
        <w:rPr>
          <w:rFonts w:hint="eastAsia" w:ascii="Times New Roman" w:hAnsi="Times New Roman" w:eastAsia="仿宋_GB2312" w:cs="Times New Roman"/>
          <w:sz w:val="32"/>
          <w:szCs w:val="32"/>
          <w:lang w:eastAsia="zh-CN"/>
        </w:rPr>
        <w:t>。</w:t>
      </w:r>
    </w:p>
    <w:p w14:paraId="1111B2DB">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主题诠释：</w:t>
      </w:r>
    </w:p>
    <w:p w14:paraId="4A31E347">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未来视界：以空间计算、XR技术、动态影像等前沿媒介，拓展视觉传达的边界</w:t>
      </w:r>
      <w:r>
        <w:rPr>
          <w:rFonts w:hint="eastAsia" w:ascii="Times New Roman" w:hAnsi="Times New Roman" w:eastAsia="仿宋_GB2312" w:cs="Times New Roman"/>
          <w:sz w:val="32"/>
          <w:szCs w:val="32"/>
          <w:lang w:eastAsia="zh-CN"/>
        </w:rPr>
        <w:t>。</w:t>
      </w:r>
    </w:p>
    <w:p w14:paraId="6850558A">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沉浸共创：强调沉浸式体验设计与群体协作创作，连接数字未来与人文温度</w:t>
      </w:r>
      <w:r>
        <w:rPr>
          <w:rFonts w:hint="eastAsia" w:ascii="Times New Roman" w:hAnsi="Times New Roman" w:eastAsia="仿宋_GB2312" w:cs="Times New Roman"/>
          <w:sz w:val="32"/>
          <w:szCs w:val="32"/>
          <w:lang w:eastAsia="zh-CN"/>
        </w:rPr>
        <w:t>。</w:t>
      </w:r>
    </w:p>
    <w:p w14:paraId="55138B00">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通过科技与人文的对话，探索视觉传达设计在新时代语境下的创新表达</w:t>
      </w:r>
      <w:r>
        <w:rPr>
          <w:rFonts w:hint="eastAsia" w:ascii="Times New Roman" w:hAnsi="Times New Roman" w:eastAsia="仿宋_GB2312" w:cs="Times New Roman"/>
          <w:sz w:val="32"/>
          <w:szCs w:val="32"/>
          <w:lang w:eastAsia="zh-CN"/>
        </w:rPr>
        <w:t>。</w:t>
      </w:r>
    </w:p>
    <w:p w14:paraId="6E7ADA8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default" w:ascii="黑体" w:hAnsi="黑体" w:eastAsia="黑体" w:cs="黑体"/>
          <w:sz w:val="32"/>
          <w:szCs w:val="32"/>
          <w:lang w:val="en-US"/>
        </w:rPr>
        <w:t>二</w:t>
      </w:r>
      <w:r>
        <w:rPr>
          <w:rFonts w:hint="default" w:ascii="黑体" w:hAnsi="黑体" w:eastAsia="黑体" w:cs="黑体"/>
          <w:sz w:val="32"/>
          <w:szCs w:val="32"/>
        </w:rPr>
        <w:t>、参赛方案</w:t>
      </w:r>
    </w:p>
    <w:p w14:paraId="72D22451">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1、设计主题</w:t>
      </w:r>
    </w:p>
    <w:p w14:paraId="6410B0A2">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空间计算产业人才发展培育工程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（China XR卓越计划）设计完整的品牌视觉识别系统。</w:t>
      </w:r>
    </w:p>
    <w:p w14:paraId="46E310C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核心理念诠释：</w:t>
      </w:r>
    </w:p>
    <w:p w14:paraId="25FF3A41">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空间计算——体现三维沉浸、虚实融合的技术边界拓展</w:t>
      </w:r>
      <w:r>
        <w:rPr>
          <w:rFonts w:hint="eastAsia" w:ascii="Times New Roman" w:hAnsi="Times New Roman" w:eastAsia="仿宋_GB2312" w:cs="Times New Roman"/>
          <w:sz w:val="32"/>
          <w:szCs w:val="32"/>
          <w:lang w:eastAsia="zh-CN"/>
        </w:rPr>
        <w:t>。</w:t>
      </w:r>
    </w:p>
    <w:p w14:paraId="54A8B540">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卓越计划——表达人才培养、产业升级、面向未来的生长感</w:t>
      </w:r>
      <w:r>
        <w:rPr>
          <w:rFonts w:hint="eastAsia" w:ascii="Times New Roman" w:hAnsi="Times New Roman" w:eastAsia="仿宋_GB2312" w:cs="Times New Roman"/>
          <w:sz w:val="32"/>
          <w:szCs w:val="32"/>
          <w:lang w:eastAsia="zh-CN"/>
        </w:rPr>
        <w:t>。</w:t>
      </w:r>
    </w:p>
    <w:p w14:paraId="176BA4E8">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人文科技——在科技感中融入温度，避免冰冷机械的视觉语言</w:t>
      </w:r>
      <w:r>
        <w:rPr>
          <w:rFonts w:hint="eastAsia" w:ascii="Times New Roman" w:hAnsi="Times New Roman" w:eastAsia="仿宋_GB2312" w:cs="Times New Roman"/>
          <w:sz w:val="32"/>
          <w:szCs w:val="32"/>
          <w:lang w:eastAsia="zh-CN"/>
        </w:rPr>
        <w:t>。</w:t>
      </w:r>
    </w:p>
    <w:p w14:paraId="0D10B522">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视觉调性定位：精准前沿的科技感+包容温暖的人文性+面向未来的前瞻性</w:t>
      </w:r>
      <w:r>
        <w:rPr>
          <w:rFonts w:hint="eastAsia" w:ascii="Times New Roman" w:hAnsi="Times New Roman" w:eastAsia="仿宋_GB2312" w:cs="Times New Roman"/>
          <w:sz w:val="32"/>
          <w:szCs w:val="32"/>
          <w:lang w:eastAsia="zh-CN"/>
        </w:rPr>
        <w:t>。</w:t>
      </w:r>
    </w:p>
    <w:p w14:paraId="5A659CFD">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设计内容</w:t>
      </w:r>
    </w:p>
    <w:p w14:paraId="1CF73CBD">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基础系统</w:t>
      </w:r>
    </w:p>
    <w:p w14:paraId="7BEF1A2B">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标志设计：</w:t>
      </w:r>
      <w:r>
        <w:rPr>
          <w:rFonts w:hint="eastAsia" w:ascii="Times New Roman" w:hAnsi="Times New Roman" w:eastAsia="仿宋_GB2312" w:cs="Times New Roman"/>
          <w:sz w:val="32"/>
          <w:szCs w:val="32"/>
          <w:highlight w:val="none"/>
          <w:lang w:eastAsia="zh-CN"/>
        </w:rPr>
        <w:t>为“China XR卓越计划”设计中英文标准字组合标志。中文全称“China XR卓越计划”，英文全称“China XR Excellence Program”。中英文可分别设计后组合使用。需提供横版、竖版、单色、反白四种基础版本，附标准制图规范与最小使用尺寸说明。</w:t>
      </w:r>
    </w:p>
    <w:p w14:paraId="3917FD9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形象设计：设计</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China XR卓越计划</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专属品牌IP卡通形象，作为青少年科技启蒙伙伴，兼具科技感与人文温度。需提供基础造型三视图、标准表情与动作规范，可延展场景化服装及家族形象。动态形象设计为可选做，基于IP形象演绎动态视觉，时长5-10秒。</w:t>
      </w:r>
    </w:p>
    <w:p w14:paraId="240212D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标准字体：指定中文字体1-2款、英文字体1-2款作为品牌专用字体，附字体应用场景说明与层级搭配规范。</w:t>
      </w:r>
    </w:p>
    <w:p w14:paraId="39C21786">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标准色彩：</w:t>
      </w:r>
      <w:r>
        <w:rPr>
          <w:rFonts w:hint="eastAsia" w:ascii="Times New Roman" w:hAnsi="Times New Roman" w:eastAsia="仿宋_GB2312" w:cs="Times New Roman"/>
          <w:sz w:val="32"/>
          <w:szCs w:val="32"/>
          <w:highlight w:val="none"/>
          <w:lang w:eastAsia="zh-CN"/>
        </w:rPr>
        <w:t>建立完整的品牌色彩体系，包括1-2个主色、2-3个辅助色、专用色彩（如金银等特种色）。需标注各色彩的CMYK、RGB、HEX及Pantone色值，并制定色彩使用比例规范与应用场景指引。</w:t>
      </w:r>
    </w:p>
    <w:p w14:paraId="6C702F9E">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辅助图形系统：</w:t>
      </w:r>
      <w:r>
        <w:rPr>
          <w:rFonts w:hint="eastAsia" w:ascii="Times New Roman" w:hAnsi="Times New Roman" w:eastAsia="仿宋_GB2312" w:cs="Times New Roman"/>
          <w:sz w:val="32"/>
          <w:szCs w:val="32"/>
          <w:highlight w:val="none"/>
          <w:lang w:eastAsia="zh-CN"/>
        </w:rPr>
        <w:t>从空间计算、虚拟现实、人机交互等核心概念中提取视觉元素，进行抽象化解构与视觉转译，构建具有延展性的图形语言。至少开发3组基础图形单元，展示其在不同应用场景中的组合与演绎方式。</w:t>
      </w:r>
    </w:p>
    <w:p w14:paraId="33F0AA25">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3、</w:t>
      </w:r>
      <w:r>
        <w:rPr>
          <w:rFonts w:hint="default" w:ascii="楷体_GB2312" w:hAnsi="楷体_GB2312" w:eastAsia="楷体_GB2312" w:cs="楷体_GB2312"/>
          <w:sz w:val="32"/>
          <w:szCs w:val="32"/>
        </w:rPr>
        <w:t>参赛对象</w:t>
      </w:r>
    </w:p>
    <w:p w14:paraId="1D804741">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高等院校相关专业全日制在籍学生。</w:t>
      </w:r>
    </w:p>
    <w:p w14:paraId="6EEAFC4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个人参赛：独立完成全套设计，1人</w:t>
      </w:r>
    </w:p>
    <w:p w14:paraId="18A22BC7">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团队参赛：2-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eastAsia="zh-CN"/>
        </w:rPr>
        <w:t>人/队，含1名指导老师，可跨专业组队</w:t>
      </w:r>
    </w:p>
    <w:p w14:paraId="5F8DAE66">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4、</w:t>
      </w:r>
      <w:r>
        <w:rPr>
          <w:rFonts w:hint="default" w:ascii="楷体_GB2312" w:hAnsi="楷体_GB2312" w:eastAsia="楷体_GB2312" w:cs="楷体_GB2312"/>
          <w:sz w:val="32"/>
          <w:szCs w:val="32"/>
        </w:rPr>
        <w:t>作品提交时间</w:t>
      </w:r>
    </w:p>
    <w:p w14:paraId="25307D34">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初评作品提交：202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日之前</w:t>
      </w:r>
      <w:r>
        <w:rPr>
          <w:rFonts w:hint="eastAsia" w:ascii="Times New Roman" w:hAnsi="Times New Roman" w:eastAsia="仿宋_GB2312" w:cs="Times New Roman"/>
          <w:sz w:val="32"/>
          <w:szCs w:val="32"/>
          <w:lang w:eastAsia="zh-CN"/>
        </w:rPr>
        <w:t>。</w:t>
      </w:r>
    </w:p>
    <w:p w14:paraId="47A9AA35">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终评作品提交：</w:t>
      </w:r>
      <w:r>
        <w:rPr>
          <w:rFonts w:hint="eastAsia" w:ascii="Times New Roman" w:hAnsi="Times New Roman" w:eastAsia="仿宋_GB2312" w:cs="Times New Roman"/>
          <w:sz w:val="32"/>
          <w:szCs w:val="32"/>
          <w:lang w:val="en-US" w:eastAsia="zh-CN"/>
        </w:rPr>
        <w:t>另行通知</w:t>
      </w:r>
      <w:r>
        <w:rPr>
          <w:rFonts w:hint="eastAsia" w:ascii="Times New Roman" w:hAnsi="Times New Roman" w:eastAsia="仿宋_GB2312" w:cs="Times New Roman"/>
          <w:sz w:val="32"/>
          <w:szCs w:val="32"/>
          <w:lang w:eastAsia="zh-CN"/>
        </w:rPr>
        <w:t>。</w:t>
      </w:r>
    </w:p>
    <w:p w14:paraId="303B17CB">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5、</w:t>
      </w:r>
      <w:r>
        <w:rPr>
          <w:rFonts w:hint="default" w:ascii="楷体_GB2312" w:hAnsi="楷体_GB2312" w:eastAsia="楷体_GB2312" w:cs="楷体_GB2312"/>
          <w:sz w:val="32"/>
          <w:szCs w:val="32"/>
        </w:rPr>
        <w:t>作品报送链接</w:t>
      </w:r>
    </w:p>
    <w:p w14:paraId="766A5B96">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"https://form.jingyudao.cn/sl/w4vy" </w:instrText>
      </w:r>
      <w:r>
        <w:rPr>
          <w:rFonts w:hint="default" w:ascii="Times New Roman" w:hAnsi="Times New Roman" w:eastAsia="仿宋_GB2312" w:cs="Times New Roman"/>
          <w:sz w:val="32"/>
          <w:szCs w:val="32"/>
        </w:rPr>
        <w:fldChar w:fldCharType="separate"/>
      </w:r>
      <w:r>
        <w:rPr>
          <w:rStyle w:val="8"/>
          <w:rFonts w:hint="default" w:ascii="Times New Roman" w:hAnsi="Times New Roman" w:eastAsia="仿宋_GB2312" w:cs="Times New Roman"/>
          <w:sz w:val="32"/>
          <w:szCs w:val="32"/>
        </w:rPr>
        <w:t>https://form.jingyudao.cn/sl/w4vy</w:t>
      </w:r>
      <w:r>
        <w:rPr>
          <w:rFonts w:hint="default" w:ascii="Times New Roman" w:hAnsi="Times New Roman" w:eastAsia="仿宋_GB2312" w:cs="Times New Roman"/>
          <w:sz w:val="32"/>
          <w:szCs w:val="32"/>
        </w:rPr>
        <w:fldChar w:fldCharType="end"/>
      </w:r>
    </w:p>
    <w:p w14:paraId="32BA8C5D">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6、</w:t>
      </w:r>
      <w:r>
        <w:rPr>
          <w:rFonts w:hint="default" w:ascii="楷体_GB2312" w:hAnsi="楷体_GB2312" w:eastAsia="楷体_GB2312" w:cs="楷体_GB2312"/>
          <w:sz w:val="32"/>
          <w:szCs w:val="32"/>
        </w:rPr>
        <w:t>作品内容要求</w:t>
      </w:r>
    </w:p>
    <w:p w14:paraId="3304387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作品须符合国家相关法律法规的要求，不能出现性别歧视的影射；不能出现任何对暴力、仇恨、种族主义的宣传；不能出现任何政治和宗教声明。</w:t>
      </w:r>
    </w:p>
    <w:p w14:paraId="3BDAD10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所有参赛作品必须符合设定主题，体现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未来视界</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沉浸共创</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空间计算文创产品设计</w:t>
      </w:r>
      <w:r>
        <w:rPr>
          <w:rFonts w:hint="default" w:ascii="Times New Roman" w:hAnsi="Times New Roman" w:eastAsia="仿宋_GB2312" w:cs="Times New Roman"/>
          <w:sz w:val="32"/>
          <w:szCs w:val="32"/>
        </w:rPr>
        <w:t>的核心理念。</w:t>
      </w:r>
    </w:p>
    <w:p w14:paraId="49CB2249">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作品数量不限（不计入各校</w:t>
      </w:r>
      <w:r>
        <w:rPr>
          <w:rFonts w:hint="eastAsia" w:ascii="Times New Roman" w:hAnsi="Times New Roman" w:eastAsia="仿宋_GB2312" w:cs="Times New Roman"/>
          <w:sz w:val="32"/>
          <w:szCs w:val="32"/>
          <w:lang w:eastAsia="zh-CN"/>
        </w:rPr>
        <w:t>“视传类”</w:t>
      </w:r>
      <w:r>
        <w:rPr>
          <w:rFonts w:hint="default" w:ascii="Times New Roman" w:hAnsi="Times New Roman" w:eastAsia="仿宋_GB2312" w:cs="Times New Roman"/>
          <w:sz w:val="32"/>
          <w:szCs w:val="32"/>
        </w:rPr>
        <w:t>的15件名额总额），鼓励系列作品，系列作品按一个版面提交。</w:t>
      </w:r>
    </w:p>
    <w:p w14:paraId="253A53B7">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7、</w:t>
      </w:r>
      <w:r>
        <w:rPr>
          <w:rFonts w:hint="default" w:ascii="楷体_GB2312" w:hAnsi="楷体_GB2312" w:eastAsia="楷体_GB2312" w:cs="楷体_GB2312"/>
          <w:sz w:val="32"/>
          <w:szCs w:val="32"/>
        </w:rPr>
        <w:t>作品提交要求</w:t>
      </w:r>
    </w:p>
    <w:p w14:paraId="058E88A2">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初评提交</w:t>
      </w:r>
      <w:r>
        <w:rPr>
          <w:rFonts w:hint="eastAsia" w:ascii="Times New Roman" w:hAnsi="Times New Roman" w:eastAsia="仿宋_GB2312" w:cs="Times New Roman"/>
          <w:sz w:val="32"/>
          <w:szCs w:val="32"/>
          <w:lang w:val="en-US" w:eastAsia="zh-CN"/>
        </w:rPr>
        <w:t>：</w:t>
      </w:r>
    </w:p>
    <w:p w14:paraId="021B4193">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各校的参赛学生将参赛作品的初评版（按模板制作）通过“视传类竞赛平台”提交。模板可以直接在“平台”内的“相关附件”中下载，单张图片不超过10mb。若为系列作品，请按一个版面提交，确保整体视觉效果协调统一</w:t>
      </w:r>
      <w:r>
        <w:rPr>
          <w:rFonts w:hint="eastAsia" w:ascii="Times New Roman" w:hAnsi="Times New Roman" w:eastAsia="仿宋_GB2312" w:cs="Times New Roman"/>
          <w:sz w:val="32"/>
          <w:szCs w:val="32"/>
          <w:lang w:val="en-US" w:eastAsia="zh-CN"/>
        </w:rPr>
        <w:t>。</w:t>
      </w:r>
    </w:p>
    <w:p w14:paraId="152923A4">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终评提交：</w:t>
      </w:r>
    </w:p>
    <w:p w14:paraId="4A873521">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设计源文件包：AI矢量源文件（标志、标准字、辅助图形）</w:t>
      </w:r>
      <w:r>
        <w:rPr>
          <w:rFonts w:hint="default" w:ascii="Times New Roman" w:hAnsi="Times New Roman" w:eastAsia="仿宋_GB2312" w:cs="Times New Roman"/>
          <w:sz w:val="32"/>
          <w:szCs w:val="32"/>
          <w:lang w:val="en-US"/>
        </w:rPr>
        <w:t>或</w:t>
      </w:r>
      <w:r>
        <w:rPr>
          <w:rFonts w:hint="default" w:ascii="Times New Roman" w:hAnsi="Times New Roman" w:eastAsia="仿宋_GB2312" w:cs="Times New Roman"/>
          <w:sz w:val="32"/>
          <w:szCs w:val="32"/>
        </w:rPr>
        <w:t>PSD分层文件（应用场景效果图）</w:t>
      </w:r>
      <w:r>
        <w:rPr>
          <w:rFonts w:hint="eastAsia" w:ascii="Times New Roman" w:hAnsi="Times New Roman" w:eastAsia="仿宋_GB2312" w:cs="Times New Roman"/>
          <w:sz w:val="32"/>
          <w:szCs w:val="32"/>
          <w:lang w:eastAsia="zh-CN"/>
        </w:rPr>
        <w:t>。</w:t>
      </w:r>
    </w:p>
    <w:p w14:paraId="3FD54B2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实物样品</w:t>
      </w:r>
      <w:r>
        <w:rPr>
          <w:rFonts w:hint="eastAsia" w:ascii="Times New Roman" w:hAnsi="Times New Roman" w:eastAsia="仿宋_GB2312" w:cs="Times New Roman"/>
          <w:sz w:val="32"/>
          <w:szCs w:val="32"/>
        </w:rPr>
        <w:t>（推荐但非强制）</w:t>
      </w:r>
      <w:r>
        <w:rPr>
          <w:rFonts w:hint="default" w:ascii="Times New Roman" w:hAnsi="Times New Roman" w:eastAsia="仿宋_GB2312" w:cs="Times New Roman"/>
          <w:sz w:val="32"/>
          <w:szCs w:val="32"/>
        </w:rPr>
        <w:t>：核心应用项的实物打样（如名片、徽章、笔记本等至少3项）或高精度实物拍摄图</w:t>
      </w:r>
      <w:r>
        <w:rPr>
          <w:rFonts w:hint="eastAsia" w:ascii="Times New Roman" w:hAnsi="Times New Roman" w:eastAsia="仿宋_GB2312" w:cs="Times New Roman"/>
          <w:sz w:val="32"/>
          <w:szCs w:val="32"/>
          <w:lang w:eastAsia="zh-CN"/>
        </w:rPr>
        <w:t>。</w:t>
      </w:r>
    </w:p>
    <w:p w14:paraId="2DB84579">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设计延展方案</w:t>
      </w:r>
      <w:r>
        <w:rPr>
          <w:rFonts w:hint="default" w:ascii="Times New Roman" w:hAnsi="Times New Roman" w:eastAsia="仿宋_GB2312" w:cs="Times New Roman"/>
          <w:sz w:val="32"/>
          <w:szCs w:val="32"/>
          <w:lang w:val="en-US"/>
        </w:rPr>
        <w:t>（推荐但非强制）</w:t>
      </w:r>
      <w:r>
        <w:rPr>
          <w:rFonts w:hint="default" w:ascii="Times New Roman" w:hAnsi="Times New Roman" w:eastAsia="仿宋_GB2312" w:cs="Times New Roman"/>
          <w:sz w:val="32"/>
          <w:szCs w:val="32"/>
        </w:rPr>
        <w:t>：针对特定场景（如学术论坛、产业对接会、国际会议）的专项视觉方案</w:t>
      </w:r>
      <w:r>
        <w:rPr>
          <w:rFonts w:hint="eastAsia" w:ascii="Times New Roman" w:hAnsi="Times New Roman" w:eastAsia="仿宋_GB2312" w:cs="Times New Roman"/>
          <w:sz w:val="32"/>
          <w:szCs w:val="32"/>
          <w:lang w:eastAsia="zh-CN"/>
        </w:rPr>
        <w:t>。</w:t>
      </w:r>
    </w:p>
    <w:p w14:paraId="4F81AD10">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eastAsia" w:ascii="黑体" w:hAnsi="黑体" w:eastAsia="黑体" w:cs="黑体"/>
          <w:sz w:val="32"/>
          <w:szCs w:val="32"/>
          <w:lang w:val="en-US" w:eastAsia="zh-CN"/>
        </w:rPr>
        <w:t>三</w:t>
      </w:r>
      <w:r>
        <w:rPr>
          <w:rFonts w:hint="default" w:ascii="黑体" w:hAnsi="黑体" w:eastAsia="黑体" w:cs="黑体"/>
          <w:sz w:val="32"/>
          <w:szCs w:val="32"/>
        </w:rPr>
        <w:t>、奖项设定</w:t>
      </w:r>
    </w:p>
    <w:p w14:paraId="7C84E580">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特别激励：</w:t>
      </w:r>
    </w:p>
    <w:p w14:paraId="1CE6830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获奖方案将有机会被推荐至空间计算产才协同创新中心作为备选参考，参与后续品牌建设的深化论证；团队可获邀参与相关领域的学术研讨与产业对接活动，探索长期性的设计实践合作。</w:t>
      </w:r>
    </w:p>
    <w:p w14:paraId="50500E4C">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黑体" w:hAnsi="黑体" w:eastAsia="黑体" w:cs="黑体"/>
          <w:sz w:val="32"/>
          <w:szCs w:val="32"/>
          <w:lang w:eastAsia="zh-CN"/>
        </w:rPr>
      </w:pPr>
      <w:r>
        <w:rPr>
          <w:rFonts w:hint="eastAsia" w:ascii="黑体" w:hAnsi="黑体" w:eastAsia="黑体" w:cs="黑体"/>
          <w:sz w:val="32"/>
          <w:szCs w:val="32"/>
          <w:lang w:val="en-US" w:eastAsia="zh-CN"/>
        </w:rPr>
        <w:t>四</w:t>
      </w:r>
      <w:r>
        <w:rPr>
          <w:rFonts w:hint="default" w:ascii="黑体" w:hAnsi="黑体" w:eastAsia="黑体" w:cs="黑体"/>
          <w:sz w:val="32"/>
          <w:szCs w:val="32"/>
        </w:rPr>
        <w:t>、参赛声明</w:t>
      </w:r>
    </w:p>
    <w:p w14:paraId="498CB4D8">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 获奖作品，将择优购买版权，具体事宜将另行通知。</w:t>
      </w:r>
    </w:p>
    <w:p w14:paraId="31620208">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 所有参赛作品必须是拥有独立知识产权的、未发表过的原创作品，不得侵犯他人的知识产权，否则引起的法律纠纷由参赛者本人承担。</w:t>
      </w:r>
    </w:p>
    <w:p w14:paraId="451554FF">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 大赛有权对所有参赛作品在各类媒体进行宣传、出版、发行、展示、展览等。</w:t>
      </w:r>
    </w:p>
    <w:p w14:paraId="5DBA2FEF">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4. 作品中凡涉嫌抄袭或涉及知识产权问题的作品，将自动失去参赛资格。若获奖作品违规，则追回奖项并公告。如造成第三者之权益损失，参赛者需自行负担相关法律责任。</w:t>
      </w:r>
    </w:p>
    <w:p w14:paraId="51F53A51">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5. 若获奖作品及创作者被第三方公司签约，其相关知识产权以协议为准。</w:t>
      </w:r>
    </w:p>
    <w:p w14:paraId="437FE372">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6. 参赛团队需承诺：方案中涉及的儿童参与活动，需符合未成年人保护相关法律法规，确保活动安全性与教育性。</w:t>
      </w:r>
    </w:p>
    <w:p w14:paraId="42E775AE">
      <w:pPr>
        <w:keepNext w:val="0"/>
        <w:keepLines w:val="0"/>
        <w:pageBreakBefore w:val="0"/>
        <w:kinsoku/>
        <w:wordWrap/>
        <w:overflowPunct/>
        <w:topLinePunct w:val="0"/>
        <w:autoSpaceDE/>
        <w:autoSpaceDN/>
        <w:bidi w:val="0"/>
        <w:adjustRightInd/>
        <w:snapToGrid/>
        <w:spacing w:line="596"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注：</w:t>
      </w:r>
      <w:r>
        <w:rPr>
          <w:rFonts w:hint="default" w:ascii="Times New Roman" w:hAnsi="Times New Roman" w:eastAsia="仿宋_GB2312" w:cs="Times New Roman"/>
          <w:sz w:val="32"/>
          <w:szCs w:val="32"/>
        </w:rPr>
        <w:t>主办方对本活动保留最终解释权。</w:t>
      </w:r>
    </w:p>
    <w:p w14:paraId="24B6EEA3">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highlight w:val="yellow"/>
          <w:lang w:val="en-US" w:eastAsia="zh-CN"/>
        </w:rPr>
      </w:pPr>
      <w:r>
        <w:rPr>
          <w:rFonts w:hint="eastAsia" w:ascii="黑体" w:hAnsi="黑体" w:eastAsia="黑体" w:cs="黑体"/>
          <w:sz w:val="32"/>
          <w:szCs w:val="32"/>
          <w:lang w:val="en-US" w:eastAsia="zh-CN"/>
        </w:rPr>
        <w:t>五</w:t>
      </w:r>
      <w:r>
        <w:rPr>
          <w:rFonts w:hint="default" w:ascii="黑体" w:hAnsi="黑体" w:eastAsia="黑体" w:cs="黑体"/>
          <w:sz w:val="32"/>
          <w:szCs w:val="32"/>
        </w:rPr>
        <w:t>、</w:t>
      </w:r>
      <w:r>
        <w:rPr>
          <w:rFonts w:hint="eastAsia" w:ascii="黑体" w:hAnsi="黑体" w:eastAsia="黑体" w:cs="黑体"/>
          <w:sz w:val="32"/>
          <w:szCs w:val="32"/>
          <w:lang w:val="en-US" w:eastAsia="zh-CN"/>
        </w:rPr>
        <w:t>学术</w:t>
      </w:r>
      <w:r>
        <w:rPr>
          <w:rFonts w:hint="default" w:ascii="黑体" w:hAnsi="黑体" w:eastAsia="黑体" w:cs="黑体"/>
          <w:sz w:val="32"/>
          <w:szCs w:val="32"/>
        </w:rPr>
        <w:t>支持与</w:t>
      </w:r>
      <w:r>
        <w:rPr>
          <w:rFonts w:hint="eastAsia" w:ascii="黑体" w:hAnsi="黑体" w:eastAsia="黑体" w:cs="黑体"/>
          <w:sz w:val="32"/>
          <w:szCs w:val="32"/>
          <w:lang w:val="en-US" w:eastAsia="zh-CN"/>
        </w:rPr>
        <w:t>实践平台</w:t>
      </w:r>
    </w:p>
    <w:p w14:paraId="4E653794">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大赛联合空间计算领域产业伙伴，为各赛道参赛团队提供全方位的学术支持与资源对接服务。参赛团队可通过赛事组委会获取行业应用案例库、技术白皮书、背景资料与参考信息，了解沉浸式内容创作、科技品牌建设、智能交互产品设计的最新发展趋势与技术边界。</w:t>
      </w:r>
    </w:p>
    <w:p w14:paraId="53843985">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赛事期间将视情况组织专题分享会，邀请行业专家就空间计算、实时渲染、视觉转译、人工智能、物联网、语音交互等技术应用进行学术交流，协助团队把握行业趋势与用户体验创新方向。</w:t>
      </w:r>
    </w:p>
    <w:p w14:paraId="196C270C">
      <w:pPr>
        <w:keepNext w:val="0"/>
        <w:keepLines w:val="0"/>
        <w:pageBreakBefore w:val="0"/>
        <w:kinsoku/>
        <w:wordWrap/>
        <w:overflowPunct/>
        <w:topLinePunct w:val="0"/>
        <w:autoSpaceDE/>
        <w:autoSpaceDN/>
        <w:bidi w:val="0"/>
        <w:adjustRightInd/>
        <w:snapToGrid/>
        <w:spacing w:line="59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具备创新性、专业性与市场潜力的方案，经评审委员会推荐，将纳入空间计算产才协同创新中心人才库及品牌建设备选方案库，优先获得行业技术交流、项目路演、产业资源对接及学术研讨等机会，并可进入技术孵化与产业对接渠道，为团队提供设计实践、创业探索及商业价值转化的全方位支持。</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B445E3-A67D-44DE-92FD-6171023D59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6CDC9EA-4DF4-4714-BA08-D4EDC7D1CAD3}"/>
  </w:font>
  <w:font w:name="仿宋_GB2312">
    <w:altName w:val="仿宋"/>
    <w:panose1 w:val="02010609030000010101"/>
    <w:charset w:val="86"/>
    <w:family w:val="auto"/>
    <w:pitch w:val="default"/>
    <w:sig w:usb0="00000000" w:usb1="00000000" w:usb2="00000000" w:usb3="00000000" w:csb0="00040000" w:csb1="00000000"/>
    <w:embedRegular r:id="rId3" w:fontKey="{19407AEF-4612-478F-A8D9-6DA908A86F39}"/>
  </w:font>
  <w:font w:name="仿宋">
    <w:panose1 w:val="02010609060101010101"/>
    <w:charset w:val="86"/>
    <w:family w:val="auto"/>
    <w:pitch w:val="default"/>
    <w:sig w:usb0="800002BF" w:usb1="38CF7CFA" w:usb2="00000016" w:usb3="00000000" w:csb0="00040001" w:csb1="00000000"/>
  </w:font>
  <w:font w:name="楷体_GB2312">
    <w:altName w:val="楷体"/>
    <w:panose1 w:val="02010609030000010101"/>
    <w:charset w:val="86"/>
    <w:family w:val="auto"/>
    <w:pitch w:val="default"/>
    <w:sig w:usb0="00000000" w:usb1="00000000" w:usb2="00000000" w:usb3="00000000" w:csb0="00040000" w:csb1="00000000"/>
    <w:embedRegular r:id="rId4" w:fontKey="{E7D9E699-E2E1-47EB-826D-270FB8ED3A20}"/>
  </w:font>
  <w:font w:name="楷体">
    <w:panose1 w:val="02010609060101010101"/>
    <w:charset w:val="86"/>
    <w:family w:val="auto"/>
    <w:pitch w:val="default"/>
    <w:sig w:usb0="800002BF" w:usb1="38CF7CFA" w:usb2="00000016" w:usb3="00000000" w:csb0="00040001" w:csb1="00000000"/>
  </w:font>
  <w:font w:name="WPSEMBED19">
    <w:panose1 w:val="02000000000000000000"/>
    <w:charset w:val="86"/>
    <w:family w:val="auto"/>
    <w:pitch w:val="default"/>
    <w:sig w:usb0="00000001" w:usb1="08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E7455">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DC2A86B">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0DC2A86B">
                    <w:pPr>
                      <w:pStyle w:val="3"/>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A449ED"/>
    <w:rsid w:val="464F0D51"/>
    <w:rsid w:val="667D2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cf06c7f4-0309-4ba9-a844-1cd71338f7c7</errorID>
      <errorWord>打造</errorWord>
      <group>L1_AI</group>
      <groupName>深度校对</groupName>
      <ability>L2_AI_Word</ability>
      <abilityName>字词纠错</abilityName>
      <candidateList>
        <item>搭建</item>
      </candidateList>
      <explain/>
      <paraID>665BA3BA</paraID>
      <start>165</start>
      <end>167</end>
      <status>unmodified</status>
      <modifiedWord/>
      <trackRevisions>false</trackRevisions>
    </reviewItem>
    <reviewItem>
      <errorID>4edb891b-9b04-42de-9d5b-b8c1f674fbca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39C21786</paraID>
      <start>22</start>
      <end>23</end>
      <status>unmodified</status>
      <modifiedWord/>
      <trackRevisions>false</trackRevisions>
    </reviewItem>
    <reviewItem>
      <errorID>44f2bcbe-2a4b-452a-8d22-05c0d4a1ab68</errorID>
      <errorWord>2-3个</errorWord>
      <group>L1_Punc</group>
      <groupName>标点问题</groupName>
      <ability>L2_Punc</ability>
      <abilityName>标点符号检查</abilityName>
      <candidateList>
        <item>2～3个</item>
      </candidateList>
      <explain/>
      <paraID>39C21786</paraID>
      <start>28</start>
      <end>32</end>
      <status>unmodified</status>
      <modifiedWord/>
      <trackRevisions>false</trackRevisions>
    </reviewItem>
    <reviewItem>
      <errorID>1bc28e92-ea06-4d51-a58e-562352d45455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1369447</paraID>
      <start>29</start>
      <end>30</end>
      <status>unmodified</status>
      <modifiedWord/>
      <trackRevisions>false</trackRevisions>
    </reviewItem>
    <reviewItem>
      <errorID>674176ad-983e-44ef-a820-d7c77a50bcd5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14079DC5</paraID>
      <start>50</start>
      <end>51</end>
      <status>unmodified</status>
      <modifiedWord/>
      <trackRevisions>false</trackRevisions>
    </reviewItem>
    <reviewItem>
      <errorID>a7ad0f4c-2b7d-4723-ab4c-3a507e97c96a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18A22BC7</paraID>
      <start>6</start>
      <end>7</end>
      <status>unmodified</status>
      <modifiedWord/>
      <trackRevisions>false</trackRevisions>
    </reviewItem>
    <reviewItem>
      <errorID>6eec4c7e-7fa5-4cfd-bf90-fdd11f2ec812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4549766D</paraID>
      <start>25</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1e4c2c-96a3-4cee-b544-0561da8c53c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2057</Words>
  <Characters>2178</Characters>
  <Paragraphs>80</Paragraphs>
  <TotalTime>16</TotalTime>
  <ScaleCrop>false</ScaleCrop>
  <LinksUpToDate>false</LinksUpToDate>
  <CharactersWithSpaces>2194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2026-03-03T09:15:00Z</dcterms:created>
  <dc:creator>thy</dc:creator>
  <cp:lastModifiedBy>WPS_1694531777</cp:lastModifiedBy>
  <cp:lastPrinted>2026-03-13T07:06:00Z</cp:lastPrinted>
  <dcterms:modified xsi:type="dcterms:W3CDTF">2026-04-09T11:28:49Z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036DA0D1FD2E4169BAA0279B2239A949_13</vt:lpwstr>
  </property>
  <property fmtid="{D5CDD505-2E9C-101B-9397-08002B2CF9AE}" pid="4" name="KSOTemplateDocerSaveRecord">
    <vt:lpwstr>eyJoZGlkIjoiZjhjMjc1NThhMGM0NDgzY2JjNWZjNDY4ZGE2OWQyMGMiLCJ1c2VySWQiOiI0NDgzODAwNDIifQ==</vt:lpwstr>
  </property>
</Properties>
</file>